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2F" w:rsidRPr="004E1B2F" w:rsidRDefault="004A0C49" w:rsidP="004A0C49">
      <w:pPr>
        <w:tabs>
          <w:tab w:val="left" w:pos="1635"/>
        </w:tabs>
        <w:rPr>
          <w:sz w:val="28"/>
          <w:szCs w:val="28"/>
        </w:rPr>
      </w:pPr>
      <w:r>
        <w:rPr>
          <w:sz w:val="28"/>
          <w:szCs w:val="28"/>
        </w:rPr>
        <w:t xml:space="preserve">        </w:t>
      </w:r>
    </w:p>
    <w:p w:rsidR="004A0C49" w:rsidRPr="004A0C49" w:rsidRDefault="004A0C49" w:rsidP="004A0C49">
      <w:pPr>
        <w:shd w:val="clear" w:color="auto" w:fill="FFFFFF"/>
        <w:spacing w:after="0" w:line="240" w:lineRule="auto"/>
        <w:jc w:val="center"/>
        <w:rPr>
          <w:rFonts w:ascii="Calibri" w:eastAsia="Times New Roman" w:hAnsi="Calibri" w:cs="Calibri"/>
          <w:color w:val="943634" w:themeColor="accent2" w:themeShade="BF"/>
          <w:sz w:val="24"/>
          <w:lang w:eastAsia="ru-RU"/>
        </w:rPr>
      </w:pPr>
      <w:r w:rsidRPr="004A0C49">
        <w:rPr>
          <w:rFonts w:ascii="Times New Roman" w:eastAsia="Times New Roman" w:hAnsi="Times New Roman" w:cs="Times New Roman"/>
          <w:b/>
          <w:bCs/>
          <w:color w:val="943634" w:themeColor="accent2" w:themeShade="BF"/>
          <w:sz w:val="28"/>
          <w:szCs w:val="24"/>
          <w:lang w:eastAsia="ru-RU"/>
        </w:rPr>
        <w:br/>
        <w:t>Муниципальное казённое  общеобразовательное учреждение</w:t>
      </w:r>
    </w:p>
    <w:p w:rsidR="004A0C49" w:rsidRPr="004A0C49" w:rsidRDefault="004A0C49" w:rsidP="004A0C49">
      <w:pPr>
        <w:shd w:val="clear" w:color="auto" w:fill="FFFFFF"/>
        <w:spacing w:after="0" w:line="240" w:lineRule="auto"/>
        <w:jc w:val="center"/>
        <w:rPr>
          <w:rFonts w:ascii="Calibri" w:eastAsia="Times New Roman" w:hAnsi="Calibri" w:cs="Calibri"/>
          <w:color w:val="943634" w:themeColor="accent2" w:themeShade="BF"/>
          <w:sz w:val="24"/>
          <w:lang w:eastAsia="ru-RU"/>
        </w:rPr>
      </w:pPr>
      <w:r w:rsidRPr="004A0C49">
        <w:rPr>
          <w:rFonts w:ascii="Times New Roman" w:eastAsia="Times New Roman" w:hAnsi="Times New Roman" w:cs="Times New Roman"/>
          <w:b/>
          <w:bCs/>
          <w:color w:val="943634" w:themeColor="accent2" w:themeShade="BF"/>
          <w:sz w:val="28"/>
          <w:szCs w:val="24"/>
          <w:lang w:eastAsia="ru-RU"/>
        </w:rPr>
        <w:t>«</w:t>
      </w:r>
      <w:proofErr w:type="spellStart"/>
      <w:r w:rsidRPr="004A0C49">
        <w:rPr>
          <w:rFonts w:ascii="Times New Roman" w:eastAsia="Times New Roman" w:hAnsi="Times New Roman" w:cs="Times New Roman"/>
          <w:b/>
          <w:bCs/>
          <w:color w:val="943634" w:themeColor="accent2" w:themeShade="BF"/>
          <w:sz w:val="28"/>
          <w:szCs w:val="24"/>
          <w:lang w:eastAsia="ru-RU"/>
        </w:rPr>
        <w:t>Ленинаульская</w:t>
      </w:r>
      <w:proofErr w:type="spellEnd"/>
      <w:r w:rsidRPr="004A0C49">
        <w:rPr>
          <w:rFonts w:ascii="Times New Roman" w:eastAsia="Times New Roman" w:hAnsi="Times New Roman" w:cs="Times New Roman"/>
          <w:b/>
          <w:bCs/>
          <w:color w:val="943634" w:themeColor="accent2" w:themeShade="BF"/>
          <w:sz w:val="28"/>
          <w:szCs w:val="24"/>
          <w:lang w:eastAsia="ru-RU"/>
        </w:rPr>
        <w:t xml:space="preserve"> </w:t>
      </w:r>
      <w:proofErr w:type="spellStart"/>
      <w:r w:rsidRPr="004A0C49">
        <w:rPr>
          <w:rFonts w:ascii="Times New Roman" w:eastAsia="Times New Roman" w:hAnsi="Times New Roman" w:cs="Times New Roman"/>
          <w:b/>
          <w:bCs/>
          <w:color w:val="943634" w:themeColor="accent2" w:themeShade="BF"/>
          <w:sz w:val="28"/>
          <w:szCs w:val="24"/>
          <w:lang w:eastAsia="ru-RU"/>
        </w:rPr>
        <w:t>срядняя</w:t>
      </w:r>
      <w:proofErr w:type="spellEnd"/>
      <w:r w:rsidRPr="004A0C49">
        <w:rPr>
          <w:rFonts w:ascii="Times New Roman" w:eastAsia="Times New Roman" w:hAnsi="Times New Roman" w:cs="Times New Roman"/>
          <w:b/>
          <w:bCs/>
          <w:color w:val="943634" w:themeColor="accent2" w:themeShade="BF"/>
          <w:sz w:val="28"/>
          <w:szCs w:val="24"/>
          <w:lang w:eastAsia="ru-RU"/>
        </w:rPr>
        <w:t xml:space="preserve"> общеобразовательная школа №2»</w:t>
      </w:r>
    </w:p>
    <w:p w:rsidR="004A0C49" w:rsidRPr="004A0C49" w:rsidRDefault="004A0C49" w:rsidP="004A0C49">
      <w:pPr>
        <w:shd w:val="clear" w:color="auto" w:fill="FFFFFF"/>
        <w:spacing w:after="0" w:line="240" w:lineRule="auto"/>
        <w:jc w:val="center"/>
        <w:rPr>
          <w:rFonts w:ascii="Calibri" w:eastAsia="Times New Roman" w:hAnsi="Calibri" w:cs="Calibri"/>
          <w:color w:val="943634" w:themeColor="accent2" w:themeShade="BF"/>
          <w:sz w:val="24"/>
          <w:lang w:eastAsia="ru-RU"/>
        </w:rPr>
      </w:pPr>
      <w:r w:rsidRPr="004A0C49">
        <w:rPr>
          <w:rFonts w:ascii="Times New Roman" w:eastAsia="Times New Roman" w:hAnsi="Times New Roman" w:cs="Times New Roman"/>
          <w:color w:val="943634" w:themeColor="accent2" w:themeShade="BF"/>
          <w:sz w:val="28"/>
          <w:szCs w:val="24"/>
          <w:lang w:eastAsia="ru-RU"/>
        </w:rPr>
        <w:t> </w:t>
      </w:r>
    </w:p>
    <w:p w:rsidR="004A0C49" w:rsidRPr="004A0C49" w:rsidRDefault="004A0C49" w:rsidP="004A0C49">
      <w:pPr>
        <w:shd w:val="clear" w:color="auto" w:fill="FFFFFF"/>
        <w:spacing w:after="0" w:line="240" w:lineRule="auto"/>
        <w:jc w:val="both"/>
        <w:rPr>
          <w:rFonts w:ascii="Times New Roman" w:eastAsia="Times New Roman" w:hAnsi="Times New Roman" w:cs="Times New Roman"/>
          <w:color w:val="943634" w:themeColor="accent2" w:themeShade="BF"/>
          <w:sz w:val="28"/>
          <w:szCs w:val="24"/>
          <w:lang w:eastAsia="ru-RU"/>
        </w:rPr>
      </w:pPr>
      <w:r w:rsidRPr="004A0C49">
        <w:rPr>
          <w:rFonts w:ascii="Times New Roman" w:eastAsia="Times New Roman" w:hAnsi="Times New Roman" w:cs="Times New Roman"/>
          <w:color w:val="943634" w:themeColor="accent2" w:themeShade="BF"/>
          <w:sz w:val="28"/>
          <w:szCs w:val="24"/>
          <w:lang w:eastAsia="ru-RU"/>
        </w:rPr>
        <w:t xml:space="preserve">  </w:t>
      </w:r>
    </w:p>
    <w:p w:rsidR="004A0C49" w:rsidRPr="004A0C49" w:rsidRDefault="004A0C49" w:rsidP="004A0C49">
      <w:pPr>
        <w:shd w:val="clear" w:color="auto" w:fill="FFFFFF"/>
        <w:spacing w:after="0" w:line="240" w:lineRule="auto"/>
        <w:jc w:val="center"/>
        <w:rPr>
          <w:rFonts w:ascii="Times New Roman" w:eastAsia="Times New Roman" w:hAnsi="Times New Roman" w:cs="Times New Roman"/>
          <w:color w:val="943634" w:themeColor="accent2" w:themeShade="BF"/>
          <w:sz w:val="28"/>
          <w:szCs w:val="24"/>
          <w:lang w:eastAsia="ru-RU"/>
        </w:rPr>
      </w:pPr>
    </w:p>
    <w:p w:rsidR="004A0C49" w:rsidRPr="004A0C49" w:rsidRDefault="004A0C49" w:rsidP="004A0C49">
      <w:pPr>
        <w:shd w:val="clear" w:color="auto" w:fill="FFFFFF"/>
        <w:spacing w:after="0" w:line="240" w:lineRule="auto"/>
        <w:jc w:val="center"/>
        <w:rPr>
          <w:rFonts w:ascii="Times New Roman" w:eastAsia="Times New Roman" w:hAnsi="Times New Roman" w:cs="Times New Roman"/>
          <w:color w:val="943634" w:themeColor="accent2" w:themeShade="BF"/>
          <w:sz w:val="28"/>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Pr="004A0C49" w:rsidRDefault="004A0C49" w:rsidP="004A0C49">
      <w:pPr>
        <w:shd w:val="clear" w:color="auto" w:fill="FFFFFF"/>
        <w:spacing w:after="0" w:line="240" w:lineRule="auto"/>
        <w:jc w:val="center"/>
        <w:rPr>
          <w:rFonts w:ascii="Calibri" w:eastAsia="Times New Roman" w:hAnsi="Calibri" w:cs="Calibri"/>
          <w:b/>
          <w:color w:val="0D0D0D" w:themeColor="text1" w:themeTint="F2"/>
          <w:sz w:val="24"/>
          <w:lang w:eastAsia="ru-RU"/>
        </w:rPr>
      </w:pPr>
      <w:r w:rsidRPr="004A0C49">
        <w:rPr>
          <w:rFonts w:ascii="Times New Roman" w:eastAsia="Times New Roman" w:hAnsi="Times New Roman" w:cs="Times New Roman"/>
          <w:b/>
          <w:color w:val="0D0D0D" w:themeColor="text1" w:themeTint="F2"/>
          <w:sz w:val="28"/>
          <w:szCs w:val="24"/>
          <w:lang w:eastAsia="ru-RU"/>
        </w:rPr>
        <w:t>Индивидуальный план работы</w:t>
      </w:r>
    </w:p>
    <w:p w:rsidR="004A0C49" w:rsidRPr="004A0C49" w:rsidRDefault="004A0C49" w:rsidP="004A0C49">
      <w:pPr>
        <w:shd w:val="clear" w:color="auto" w:fill="FFFFFF"/>
        <w:spacing w:after="0" w:line="240" w:lineRule="auto"/>
        <w:jc w:val="center"/>
        <w:rPr>
          <w:rFonts w:ascii="Calibri" w:eastAsia="Times New Roman" w:hAnsi="Calibri" w:cs="Calibri"/>
          <w:b/>
          <w:color w:val="0D0D0D" w:themeColor="text1" w:themeTint="F2"/>
          <w:sz w:val="24"/>
          <w:lang w:eastAsia="ru-RU"/>
        </w:rPr>
      </w:pPr>
      <w:r w:rsidRPr="004A0C49">
        <w:rPr>
          <w:rFonts w:ascii="Times New Roman" w:eastAsia="Times New Roman" w:hAnsi="Times New Roman" w:cs="Times New Roman"/>
          <w:b/>
          <w:color w:val="0D0D0D" w:themeColor="text1" w:themeTint="F2"/>
          <w:sz w:val="28"/>
          <w:szCs w:val="24"/>
          <w:lang w:eastAsia="ru-RU"/>
        </w:rPr>
        <w:t>учителя математики</w:t>
      </w:r>
    </w:p>
    <w:p w:rsidR="004A0C49" w:rsidRPr="004A0C49" w:rsidRDefault="004A0C49" w:rsidP="004A0C49">
      <w:pPr>
        <w:shd w:val="clear" w:color="auto" w:fill="FFFFFF"/>
        <w:spacing w:after="0" w:line="240" w:lineRule="auto"/>
        <w:jc w:val="center"/>
        <w:rPr>
          <w:rFonts w:ascii="Calibri" w:eastAsia="Times New Roman" w:hAnsi="Calibri" w:cs="Calibri"/>
          <w:b/>
          <w:color w:val="0D0D0D" w:themeColor="text1" w:themeTint="F2"/>
          <w:sz w:val="24"/>
          <w:lang w:eastAsia="ru-RU"/>
        </w:rPr>
      </w:pPr>
      <w:r w:rsidRPr="004A0C49">
        <w:rPr>
          <w:rFonts w:ascii="Times New Roman" w:eastAsia="Times New Roman" w:hAnsi="Times New Roman" w:cs="Times New Roman"/>
          <w:b/>
          <w:color w:val="0D0D0D" w:themeColor="text1" w:themeTint="F2"/>
          <w:sz w:val="28"/>
          <w:szCs w:val="24"/>
          <w:lang w:eastAsia="ru-RU"/>
        </w:rPr>
        <w:t>по подготовке учащихся 9 класса к ОГЭ-2018</w:t>
      </w:r>
    </w:p>
    <w:p w:rsidR="004A0C49" w:rsidRPr="004A0C49" w:rsidRDefault="004A0C49" w:rsidP="004A0C49">
      <w:pPr>
        <w:shd w:val="clear" w:color="auto" w:fill="FFFFFF"/>
        <w:spacing w:after="0" w:line="240" w:lineRule="auto"/>
        <w:jc w:val="center"/>
        <w:rPr>
          <w:rFonts w:ascii="Calibri" w:eastAsia="Times New Roman" w:hAnsi="Calibri" w:cs="Calibri"/>
          <w:b/>
          <w:color w:val="0D0D0D" w:themeColor="text1" w:themeTint="F2"/>
          <w:sz w:val="24"/>
          <w:lang w:eastAsia="ru-RU"/>
        </w:rPr>
      </w:pPr>
      <w:r w:rsidRPr="004A0C49">
        <w:rPr>
          <w:rFonts w:ascii="Times New Roman" w:eastAsia="Times New Roman" w:hAnsi="Times New Roman" w:cs="Times New Roman"/>
          <w:b/>
          <w:color w:val="0D0D0D" w:themeColor="text1" w:themeTint="F2"/>
          <w:sz w:val="28"/>
          <w:szCs w:val="24"/>
          <w:lang w:eastAsia="ru-RU"/>
        </w:rPr>
        <w:t>2017-2018 учебный год</w:t>
      </w:r>
    </w:p>
    <w:p w:rsidR="004A0C49" w:rsidRPr="004A0C49" w:rsidRDefault="004A0C49" w:rsidP="004A0C49">
      <w:pPr>
        <w:shd w:val="clear" w:color="auto" w:fill="FFFFFF"/>
        <w:spacing w:after="0" w:line="240" w:lineRule="auto"/>
        <w:jc w:val="center"/>
        <w:rPr>
          <w:rFonts w:ascii="Times New Roman" w:eastAsia="Times New Roman" w:hAnsi="Times New Roman" w:cs="Times New Roman"/>
          <w:b/>
          <w:color w:val="0D0D0D" w:themeColor="text1" w:themeTint="F2"/>
          <w:sz w:val="28"/>
          <w:szCs w:val="24"/>
          <w:lang w:eastAsia="ru-RU"/>
        </w:rPr>
      </w:pPr>
      <w:r w:rsidRPr="004A0C49">
        <w:rPr>
          <w:rFonts w:ascii="Times New Roman" w:eastAsia="Times New Roman" w:hAnsi="Times New Roman" w:cs="Times New Roman"/>
          <w:b/>
          <w:color w:val="0D0D0D" w:themeColor="text1" w:themeTint="F2"/>
          <w:sz w:val="28"/>
          <w:szCs w:val="24"/>
          <w:lang w:eastAsia="ru-RU"/>
        </w:rPr>
        <w:t>                                                                                                                                                 </w:t>
      </w:r>
      <w:bookmarkStart w:id="0" w:name="_GoBack"/>
      <w:bookmarkEnd w:id="0"/>
      <w:r w:rsidRPr="004A0C49">
        <w:rPr>
          <w:rFonts w:ascii="Times New Roman" w:eastAsia="Times New Roman" w:hAnsi="Times New Roman" w:cs="Times New Roman"/>
          <w:b/>
          <w:color w:val="0D0D0D" w:themeColor="text1" w:themeTint="F2"/>
          <w:sz w:val="28"/>
          <w:szCs w:val="24"/>
          <w:lang w:eastAsia="ru-RU"/>
        </w:rPr>
        <w:t xml:space="preserve">                                     </w:t>
      </w:r>
    </w:p>
    <w:p w:rsidR="004A0C49" w:rsidRPr="004A0C49" w:rsidRDefault="004A0C49" w:rsidP="004A0C49">
      <w:pPr>
        <w:shd w:val="clear" w:color="auto" w:fill="FFFFFF"/>
        <w:spacing w:after="0" w:line="240" w:lineRule="auto"/>
        <w:jc w:val="center"/>
        <w:rPr>
          <w:rFonts w:ascii="Times New Roman" w:eastAsia="Times New Roman" w:hAnsi="Times New Roman" w:cs="Times New Roman"/>
          <w:b/>
          <w:color w:val="0D0D0D" w:themeColor="text1" w:themeTint="F2"/>
          <w:sz w:val="28"/>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4A0C49">
        <w:rPr>
          <w:rFonts w:ascii="Times New Roman" w:eastAsia="Times New Roman" w:hAnsi="Times New Roman" w:cs="Times New Roman"/>
          <w:color w:val="000000"/>
          <w:sz w:val="24"/>
          <w:szCs w:val="24"/>
          <w:lang w:eastAsia="ru-RU"/>
        </w:rPr>
        <w:t>    Составитель:</w:t>
      </w:r>
    </w:p>
    <w:p w:rsidR="004A0C49" w:rsidRDefault="004A0C49" w:rsidP="004A0C49">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Кудуева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Марижат</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Зияродиновна</w:t>
      </w:r>
      <w:proofErr w:type="spellEnd"/>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Default="004A0C49" w:rsidP="004A0C4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План</w:t>
      </w: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подготовки к государственной  итоговой аттестации</w:t>
      </w: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выпускников 9 классов по математике</w:t>
      </w: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на 2017-2018</w:t>
      </w:r>
      <w:r w:rsidRPr="004A0C49">
        <w:rPr>
          <w:rFonts w:ascii="Times New Roman" w:eastAsia="Times New Roman" w:hAnsi="Times New Roman" w:cs="Times New Roman"/>
          <w:b/>
          <w:bCs/>
          <w:color w:val="000000"/>
          <w:sz w:val="24"/>
          <w:szCs w:val="24"/>
          <w:lang w:eastAsia="ru-RU"/>
        </w:rPr>
        <w:t xml:space="preserve"> учебный год</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Цель:</w:t>
      </w:r>
      <w:r w:rsidRPr="004A0C49">
        <w:rPr>
          <w:rFonts w:ascii="Times New Roman" w:eastAsia="Times New Roman" w:hAnsi="Times New Roman" w:cs="Times New Roman"/>
          <w:color w:val="000000"/>
          <w:sz w:val="24"/>
          <w:szCs w:val="24"/>
          <w:lang w:eastAsia="ru-RU"/>
        </w:rPr>
        <w:t> создание условий для реализации прав учащихся на качественное образование в ходе подготовки и проведения итоговой аттестации.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Задачи: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Осуществить информационное, методическое, психолого-педагогическое обеспечение итоговой аттестации выпускников 9 классов;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Выявить соответствие подготовки выпускников требованиям образовательных  стандартов;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Обеспечить психологический комфорт и правовую защищенность всех  участников образовательного процесса в ходе проведения итоговой аттестации.</w:t>
      </w:r>
    </w:p>
    <w:p w:rsidR="004A0C49" w:rsidRPr="004A0C49" w:rsidRDefault="004A0C49" w:rsidP="004A0C49">
      <w:pPr>
        <w:shd w:val="clear" w:color="auto" w:fill="FFFFFF"/>
        <w:spacing w:line="240" w:lineRule="auto"/>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  Информационная деятельность</w:t>
      </w:r>
    </w:p>
    <w:tbl>
      <w:tblPr>
        <w:tblW w:w="12000" w:type="dxa"/>
        <w:tblInd w:w="-116" w:type="dxa"/>
        <w:tblCellMar>
          <w:top w:w="15" w:type="dxa"/>
          <w:left w:w="15" w:type="dxa"/>
          <w:bottom w:w="15" w:type="dxa"/>
          <w:right w:w="15" w:type="dxa"/>
        </w:tblCellMar>
        <w:tblLook w:val="04A0" w:firstRow="1" w:lastRow="0" w:firstColumn="1" w:lastColumn="0" w:noHBand="0" w:noVBand="1"/>
      </w:tblPr>
      <w:tblGrid>
        <w:gridCol w:w="1708"/>
        <w:gridCol w:w="10292"/>
      </w:tblGrid>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Сроки</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Мероприятие</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изучение  демоверсии ОГЭ-2017 (цель – понять особенности заданий, которые будут предложены учащимся в этом году)</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Знакомство учащихся с кодификатором элементов содержания экзаменационной  работы, спецификацией экзаменационной работы по алгебре (проект)</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xml:space="preserve">формирование на основе подготовленного аналитического материала понимания у </w:t>
            </w:r>
            <w:proofErr w:type="gramStart"/>
            <w:r w:rsidRPr="004A0C49">
              <w:rPr>
                <w:rFonts w:ascii="Times New Roman" w:eastAsia="Times New Roman" w:hAnsi="Times New Roman" w:cs="Times New Roman"/>
                <w:color w:val="000000"/>
                <w:sz w:val="24"/>
                <w:szCs w:val="24"/>
                <w:lang w:eastAsia="ru-RU"/>
              </w:rPr>
              <w:t>обучающихся</w:t>
            </w:r>
            <w:proofErr w:type="gramEnd"/>
            <w:r w:rsidRPr="004A0C49">
              <w:rPr>
                <w:rFonts w:ascii="Times New Roman" w:eastAsia="Times New Roman" w:hAnsi="Times New Roman" w:cs="Times New Roman"/>
                <w:color w:val="000000"/>
                <w:sz w:val="24"/>
                <w:szCs w:val="24"/>
                <w:lang w:eastAsia="ru-RU"/>
              </w:rPr>
              <w:t xml:space="preserve"> специфики ОГЭ</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оценка готовности учащихся к ОГЭ, выявление проблем, типичных как для данного класса, так и индивидуально для каждого ученика;  </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планирование работы по развитию навыков выполнения первой части экзаменационного задания</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сентябрь</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формирование справочного материала для подготовки к ОГЭ</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ознакомление с  литературой по подготовке к ОГЭ</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психологическая подготовка обучающихся к ОГЭ, оказание помощи в выработке индивидуального способа деятельности в процессе выполнения экзаменационных заданий</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в течение года (многократно)</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а) ознакомление учащихся с правилами заполнения бланков ответов.</w:t>
            </w:r>
          </w:p>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б) репетиция с учащимися заполнения бланков регистрации и бланков ответов.</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знакомство учащихся  с информацией по  регламенту проведения ОГЭ</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проведение индивидуально-групповых занятий по математике</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xml:space="preserve">в течение </w:t>
            </w:r>
            <w:r w:rsidRPr="004A0C49">
              <w:rPr>
                <w:rFonts w:ascii="Times New Roman" w:eastAsia="Times New Roman" w:hAnsi="Times New Roman" w:cs="Times New Roman"/>
                <w:color w:val="000000"/>
                <w:sz w:val="24"/>
                <w:szCs w:val="24"/>
                <w:lang w:eastAsia="ru-RU"/>
              </w:rPr>
              <w:lastRenderedPageBreak/>
              <w:t>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lastRenderedPageBreak/>
              <w:t>индивидуальная работа с учащимися «группы риска»</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lastRenderedPageBreak/>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индивидуальная работа с  мотивированными учащимися</w:t>
            </w:r>
          </w:p>
        </w:tc>
      </w:tr>
      <w:tr w:rsidR="004A0C49" w:rsidRPr="004A0C49" w:rsidTr="004A0C49">
        <w:trPr>
          <w:trHeight w:val="1800"/>
        </w:trPr>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Информирование родителей учеников 9 класса по вопросам:</w:t>
            </w:r>
          </w:p>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1) положение о ОГЭ, правила и процедура проведения ОГЭ;</w:t>
            </w:r>
          </w:p>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2) Документы ОГЭ; пункт сдачи ОГЭ;</w:t>
            </w:r>
          </w:p>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3) своевременное информирование родителей о ходе подготовки к ОГЭ</w:t>
            </w:r>
          </w:p>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4) результаты тренировочных, диагностических и репетиционных работ; график проведения  работ;</w:t>
            </w:r>
          </w:p>
          <w:p w:rsidR="004A0C49" w:rsidRPr="004A0C49" w:rsidRDefault="004A0C49" w:rsidP="004A0C49">
            <w:pPr>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5) порядок подачи апелляции </w:t>
            </w:r>
            <w:r w:rsidRPr="004A0C49">
              <w:rPr>
                <w:rFonts w:ascii="Times New Roman" w:eastAsia="Times New Roman" w:hAnsi="Times New Roman" w:cs="Times New Roman"/>
                <w:color w:val="000000"/>
                <w:sz w:val="24"/>
                <w:szCs w:val="24"/>
                <w:lang w:eastAsia="ru-RU"/>
              </w:rPr>
              <w:br/>
              <w:t>6) результаты ОГЭ по математике.</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оформление информационных стендов «Готовимся к ОГЭ»</w:t>
            </w:r>
          </w:p>
        </w:tc>
      </w:tr>
      <w:tr w:rsidR="004A0C49" w:rsidRPr="004A0C49" w:rsidTr="004A0C49">
        <w:tc>
          <w:tcPr>
            <w:tcW w:w="1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течение года</w:t>
            </w:r>
          </w:p>
        </w:tc>
        <w:tc>
          <w:tcPr>
            <w:tcW w:w="130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Calibri" w:eastAsia="Times New Roman" w:hAnsi="Calibri" w:cs="Calibri"/>
                <w:color w:val="000000"/>
                <w:sz w:val="28"/>
                <w:szCs w:val="28"/>
                <w:lang w:eastAsia="ru-RU"/>
              </w:rPr>
              <w:t>Практикум по решению заданий первой части экзаменационной работы</w:t>
            </w:r>
          </w:p>
        </w:tc>
      </w:tr>
    </w:tbl>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Определение групп учащихся по уровню подготовки</w:t>
      </w:r>
    </w:p>
    <w:p w:rsidR="004A0C49" w:rsidRPr="004A0C49" w:rsidRDefault="004A0C49" w:rsidP="004A0C49">
      <w:pPr>
        <w:shd w:val="clear" w:color="auto" w:fill="FFFFFF"/>
        <w:spacing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Результаты входной диагностической работы (сентябрь-октябрь) позволить определить группы  выпускников с различным уровнем подготовки и определением плана работы ориентированным на сформированные группы:</w:t>
      </w:r>
    </w:p>
    <w:tbl>
      <w:tblPr>
        <w:tblW w:w="12000" w:type="dxa"/>
        <w:tblInd w:w="-116" w:type="dxa"/>
        <w:tblCellMar>
          <w:top w:w="15" w:type="dxa"/>
          <w:left w:w="15" w:type="dxa"/>
          <w:bottom w:w="15" w:type="dxa"/>
          <w:right w:w="15" w:type="dxa"/>
        </w:tblCellMar>
        <w:tblLook w:val="04A0" w:firstRow="1" w:lastRow="0" w:firstColumn="1" w:lastColumn="0" w:noHBand="0" w:noVBand="1"/>
      </w:tblPr>
      <w:tblGrid>
        <w:gridCol w:w="2204"/>
        <w:gridCol w:w="1365"/>
        <w:gridCol w:w="8431"/>
      </w:tblGrid>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Группа</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center"/>
              <w:rPr>
                <w:rFonts w:ascii="Calibri" w:eastAsia="Times New Roman" w:hAnsi="Calibri" w:cs="Calibri"/>
                <w:color w:val="000000"/>
                <w:lang w:eastAsia="ru-RU"/>
              </w:rPr>
            </w:pPr>
            <w:proofErr w:type="spellStart"/>
            <w:r w:rsidRPr="004A0C49">
              <w:rPr>
                <w:rFonts w:ascii="Times New Roman" w:eastAsia="Times New Roman" w:hAnsi="Times New Roman" w:cs="Times New Roman"/>
                <w:b/>
                <w:bCs/>
                <w:color w:val="000000"/>
                <w:sz w:val="24"/>
                <w:szCs w:val="24"/>
                <w:lang w:eastAsia="ru-RU"/>
              </w:rPr>
              <w:t>Перв</w:t>
            </w:r>
            <w:proofErr w:type="spellEnd"/>
            <w:r w:rsidRPr="004A0C49">
              <w:rPr>
                <w:rFonts w:ascii="Times New Roman" w:eastAsia="Times New Roman" w:hAnsi="Times New Roman" w:cs="Times New Roman"/>
                <w:b/>
                <w:bCs/>
                <w:color w:val="000000"/>
                <w:sz w:val="24"/>
                <w:szCs w:val="24"/>
                <w:lang w:eastAsia="ru-RU"/>
              </w:rPr>
              <w:t>. балл</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Характеристика группы</w:t>
            </w:r>
          </w:p>
        </w:tc>
      </w:tr>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I (низкий)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Не более 8</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Выпускники, не обладающие математическими умениями на базовом, общественно значимом уровне</w:t>
            </w:r>
          </w:p>
        </w:tc>
      </w:tr>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II (базовый)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9–11</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Выпускники, освоившие курс математики на базовом уровне, не имеющие достаточной подготовки для успешного продолжения образования по техническим специальностям</w:t>
            </w:r>
          </w:p>
        </w:tc>
      </w:tr>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III</w:t>
            </w:r>
            <w:r w:rsidRPr="004A0C49">
              <w:rPr>
                <w:rFonts w:ascii="Calibri" w:eastAsia="Times New Roman" w:hAnsi="Calibri" w:cs="Calibri"/>
                <w:color w:val="000000"/>
                <w:lang w:eastAsia="ru-RU"/>
              </w:rPr>
              <w:t> </w:t>
            </w:r>
            <w:r w:rsidRPr="004A0C49">
              <w:rPr>
                <w:rFonts w:ascii="Times New Roman" w:eastAsia="Times New Roman" w:hAnsi="Times New Roman" w:cs="Times New Roman"/>
                <w:color w:val="000000"/>
                <w:sz w:val="24"/>
                <w:szCs w:val="24"/>
                <w:lang w:eastAsia="ru-RU"/>
              </w:rPr>
              <w:t>(базовый)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12–14</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Выпускники, успешно освоившие</w:t>
            </w:r>
            <w:r w:rsidRPr="004A0C49">
              <w:rPr>
                <w:rFonts w:ascii="Calibri" w:eastAsia="Times New Roman" w:hAnsi="Calibri" w:cs="Calibri"/>
                <w:color w:val="000000"/>
                <w:lang w:eastAsia="ru-RU"/>
              </w:rPr>
              <w:t> </w:t>
            </w:r>
            <w:r w:rsidRPr="004A0C49">
              <w:rPr>
                <w:rFonts w:ascii="Times New Roman" w:eastAsia="Times New Roman" w:hAnsi="Times New Roman" w:cs="Times New Roman"/>
                <w:color w:val="000000"/>
                <w:sz w:val="24"/>
                <w:szCs w:val="24"/>
                <w:lang w:eastAsia="ru-RU"/>
              </w:rPr>
              <w:t>базовый курс, фактически близкие к следующему уровню подготовки. Это участники экзамена, имеющие шансы на переход в следующую группу по уровню подготовки.</w:t>
            </w:r>
          </w:p>
        </w:tc>
      </w:tr>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IV (повышенный)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15–21</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Выпускники, освоившие курс математики и имеющие достаточный уровень математической подготовки для продолжения образования по большинству специальностей, требующих повышенного и высокого уровней математической компетентности</w:t>
            </w:r>
          </w:p>
        </w:tc>
      </w:tr>
      <w:tr w:rsidR="004A0C49" w:rsidRPr="004A0C49" w:rsidTr="004A0C49">
        <w:tc>
          <w:tcPr>
            <w:tcW w:w="2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V (высокий)</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от 22</w:t>
            </w:r>
          </w:p>
        </w:tc>
        <w:tc>
          <w:tcPr>
            <w:tcW w:w="10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0C49" w:rsidRPr="004A0C49" w:rsidRDefault="004A0C49" w:rsidP="004A0C49">
            <w:pPr>
              <w:spacing w:after="0" w:line="0" w:lineRule="atLeast"/>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Выпускники, имеющие уровень подготовки, достаточный для продолжения обучения с самыми высокими требованиями к уровню математической компетентности</w:t>
            </w:r>
          </w:p>
        </w:tc>
      </w:tr>
    </w:tbl>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Организация повторения.</w:t>
      </w:r>
    </w:p>
    <w:p w:rsidR="004A0C49" w:rsidRPr="004A0C49" w:rsidRDefault="004A0C49" w:rsidP="004A0C49">
      <w:pPr>
        <w:shd w:val="clear" w:color="auto" w:fill="FFFFFF"/>
        <w:spacing w:after="0" w:line="240" w:lineRule="auto"/>
        <w:ind w:firstLine="710"/>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lastRenderedPageBreak/>
        <w:t>     На этом этапе необходимо разработать план подготовки к ОГЭ, который должен включать в себя список ключевых тем для повторения. Это позволит параллельно с изучением нового материала системно повторить пройденное ранее (используемый материал из открытого банка заданий ФИПИ).</w:t>
      </w:r>
    </w:p>
    <w:p w:rsidR="004A0C49" w:rsidRPr="004A0C49" w:rsidRDefault="004A0C49" w:rsidP="004A0C49">
      <w:pPr>
        <w:shd w:val="clear" w:color="auto" w:fill="FFFFFF"/>
        <w:spacing w:after="0" w:line="240" w:lineRule="auto"/>
        <w:ind w:firstLine="710"/>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При повторении решения задач нужно добиваться от учеников осмысления каждого шага решения, требовать от них ссылок на соответствующие правила, формулы, чтобы у учащихся формировались ассоциации.</w:t>
      </w:r>
    </w:p>
    <w:p w:rsidR="004A0C49" w:rsidRPr="004A0C49" w:rsidRDefault="004A0C49" w:rsidP="004A0C49">
      <w:pPr>
        <w:shd w:val="clear" w:color="auto" w:fill="FFFFFF"/>
        <w:spacing w:after="0" w:line="240" w:lineRule="auto"/>
        <w:ind w:firstLine="710"/>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 действия с основными функциями и т.д.). Включить примеры серии «найди ошибку в решении», «проверь полученный ответ подстановкой в уравнение (систему)» и т.д.</w:t>
      </w:r>
    </w:p>
    <w:p w:rsidR="004A0C49" w:rsidRPr="004A0C49" w:rsidRDefault="004A0C49" w:rsidP="004A0C49">
      <w:pPr>
        <w:shd w:val="clear" w:color="auto" w:fill="FFFFFF"/>
        <w:spacing w:after="0" w:line="240" w:lineRule="auto"/>
        <w:ind w:firstLine="710"/>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 зависимости от результатов, которые показывают учащиеся данного класса, план подготовки к ОГЭ в течение учебного года может быть скорректирован.</w:t>
      </w:r>
    </w:p>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Организация и проведение мониторингов.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Мониторинг по математике включает в себя не только диагностические работы в формате ОГЭ, но и регулярные срезы знаний. Основная цель подобных работ – оперативное получение информации о качестве усвоения определенных тем, анализ типичных ошибок и организация индивидуальной работы с учащимися по устранению пробелов в знаниях. Доводить до сведения родителей результаты таких работ и срезов, что, в свою очередь, благоприятно скажется на дальнейшем процессе обучения.</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Диагностические работы на уровне образовательной организации (1 раз в месяц).</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Диагностические работы на уровне муниципального района по графику.</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xml:space="preserve">Диагностические работы системы </w:t>
      </w:r>
      <w:proofErr w:type="spellStart"/>
      <w:r w:rsidRPr="004A0C49">
        <w:rPr>
          <w:rFonts w:ascii="Times New Roman" w:eastAsia="Times New Roman" w:hAnsi="Times New Roman" w:cs="Times New Roman"/>
          <w:color w:val="000000"/>
          <w:sz w:val="24"/>
          <w:szCs w:val="24"/>
          <w:lang w:eastAsia="ru-RU"/>
        </w:rPr>
        <w:t>StatGrad</w:t>
      </w:r>
      <w:proofErr w:type="spellEnd"/>
      <w:r w:rsidRPr="004A0C49">
        <w:rPr>
          <w:rFonts w:ascii="Times New Roman" w:eastAsia="Times New Roman" w:hAnsi="Times New Roman" w:cs="Times New Roman"/>
          <w:color w:val="000000"/>
          <w:sz w:val="24"/>
          <w:szCs w:val="24"/>
          <w:lang w:eastAsia="ru-RU"/>
        </w:rPr>
        <w:t>.</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Тематические работы.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Зачеты по теоретическому материалу за курс основной школы.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Ведение диагностических карт.</w:t>
      </w: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Диагностическая карта подготовки к ОГЭ по математике  </w:t>
      </w:r>
    </w:p>
    <w:p w:rsidR="004A0C49" w:rsidRPr="004A0C49" w:rsidRDefault="004A0C49" w:rsidP="004A0C49">
      <w:pPr>
        <w:shd w:val="clear" w:color="auto" w:fill="FFFFFF"/>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 ученика (</w:t>
      </w:r>
      <w:proofErr w:type="spellStart"/>
      <w:r w:rsidRPr="004A0C49">
        <w:rPr>
          <w:rFonts w:ascii="Times New Roman" w:eastAsia="Times New Roman" w:hAnsi="Times New Roman" w:cs="Times New Roman"/>
          <w:b/>
          <w:bCs/>
          <w:color w:val="000000"/>
          <w:sz w:val="24"/>
          <w:szCs w:val="24"/>
          <w:lang w:eastAsia="ru-RU"/>
        </w:rPr>
        <w:t>цы</w:t>
      </w:r>
      <w:proofErr w:type="spellEnd"/>
      <w:r w:rsidRPr="004A0C49">
        <w:rPr>
          <w:rFonts w:ascii="Times New Roman" w:eastAsia="Times New Roman" w:hAnsi="Times New Roman" w:cs="Times New Roman"/>
          <w:b/>
          <w:bCs/>
          <w:color w:val="000000"/>
          <w:sz w:val="24"/>
          <w:szCs w:val="24"/>
          <w:lang w:eastAsia="ru-RU"/>
        </w:rPr>
        <w:t>)  9 класса        __________________________ (Ф.И.О. уч-ся)</w:t>
      </w:r>
    </w:p>
    <w:p w:rsidR="004A0C49" w:rsidRPr="004A0C49" w:rsidRDefault="004A0C49" w:rsidP="004A0C49">
      <w:pPr>
        <w:shd w:val="clear" w:color="auto" w:fill="FFFFFF"/>
        <w:spacing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lang w:eastAsia="ru-RU"/>
        </w:rPr>
        <w:t>ОГЭ</w:t>
      </w:r>
    </w:p>
    <w:tbl>
      <w:tblPr>
        <w:tblW w:w="15630" w:type="dxa"/>
        <w:tblInd w:w="-116" w:type="dxa"/>
        <w:tblCellMar>
          <w:top w:w="15" w:type="dxa"/>
          <w:left w:w="15" w:type="dxa"/>
          <w:bottom w:w="15" w:type="dxa"/>
          <w:right w:w="15" w:type="dxa"/>
        </w:tblCellMar>
        <w:tblLook w:val="04A0" w:firstRow="1" w:lastRow="0" w:firstColumn="1" w:lastColumn="0" w:noHBand="0" w:noVBand="1"/>
      </w:tblPr>
      <w:tblGrid>
        <w:gridCol w:w="684"/>
        <w:gridCol w:w="358"/>
        <w:gridCol w:w="357"/>
        <w:gridCol w:w="357"/>
        <w:gridCol w:w="357"/>
        <w:gridCol w:w="358"/>
        <w:gridCol w:w="358"/>
        <w:gridCol w:w="358"/>
        <w:gridCol w:w="358"/>
        <w:gridCol w:w="358"/>
        <w:gridCol w:w="440"/>
        <w:gridCol w:w="440"/>
        <w:gridCol w:w="440"/>
        <w:gridCol w:w="440"/>
        <w:gridCol w:w="440"/>
        <w:gridCol w:w="440"/>
        <w:gridCol w:w="440"/>
        <w:gridCol w:w="440"/>
        <w:gridCol w:w="440"/>
        <w:gridCol w:w="440"/>
        <w:gridCol w:w="440"/>
        <w:gridCol w:w="440"/>
        <w:gridCol w:w="440"/>
        <w:gridCol w:w="440"/>
        <w:gridCol w:w="494"/>
        <w:gridCol w:w="484"/>
        <w:gridCol w:w="478"/>
        <w:gridCol w:w="965"/>
        <w:gridCol w:w="660"/>
        <w:gridCol w:w="1095"/>
        <w:gridCol w:w="1391"/>
      </w:tblGrid>
      <w:tr w:rsidR="004A0C49" w:rsidRPr="004A0C49" w:rsidTr="004A0C49">
        <w:tc>
          <w:tcPr>
            <w:tcW w:w="7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 xml:space="preserve">Дата </w:t>
            </w:r>
            <w:proofErr w:type="gramStart"/>
            <w:r w:rsidRPr="004A0C49">
              <w:rPr>
                <w:rFonts w:ascii="Times New Roman" w:eastAsia="Times New Roman" w:hAnsi="Times New Roman" w:cs="Times New Roman"/>
                <w:b/>
                <w:bCs/>
                <w:color w:val="000000"/>
                <w:sz w:val="20"/>
                <w:szCs w:val="20"/>
                <w:lang w:eastAsia="ru-RU"/>
              </w:rPr>
              <w:t>ДР</w:t>
            </w:r>
            <w:proofErr w:type="gramEnd"/>
          </w:p>
        </w:tc>
        <w:tc>
          <w:tcPr>
            <w:tcW w:w="3596" w:type="dxa"/>
            <w:gridSpan w:val="8"/>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Модуль «Алгебра»</w:t>
            </w:r>
          </w:p>
        </w:tc>
        <w:tc>
          <w:tcPr>
            <w:tcW w:w="2318" w:type="dxa"/>
            <w:gridSpan w:val="5"/>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Модуль «Геометрия»</w:t>
            </w:r>
          </w:p>
        </w:tc>
        <w:tc>
          <w:tcPr>
            <w:tcW w:w="3268" w:type="dxa"/>
            <w:gridSpan w:val="7"/>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Модуль «Реальная математика»</w:t>
            </w:r>
          </w:p>
        </w:tc>
        <w:tc>
          <w:tcPr>
            <w:tcW w:w="3024"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Часть 2</w:t>
            </w:r>
          </w:p>
        </w:tc>
        <w:tc>
          <w:tcPr>
            <w:tcW w:w="48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ind w:left="114" w:right="114"/>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итого</w:t>
            </w:r>
          </w:p>
        </w:tc>
        <w:tc>
          <w:tcPr>
            <w:tcW w:w="48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ind w:left="114" w:right="114"/>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w:t>
            </w:r>
          </w:p>
        </w:tc>
        <w:tc>
          <w:tcPr>
            <w:tcW w:w="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ind w:left="114" w:right="114"/>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оценка</w:t>
            </w:r>
          </w:p>
        </w:tc>
        <w:tc>
          <w:tcPr>
            <w:tcW w:w="90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ind w:left="114" w:right="114"/>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Подпись родителей</w:t>
            </w:r>
          </w:p>
        </w:tc>
      </w:tr>
      <w:tr w:rsidR="004A0C49" w:rsidRPr="004A0C49" w:rsidTr="004A0C49">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gridSpan w:val="8"/>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gridSpan w:val="5"/>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gridSpan w:val="7"/>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140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Модуль «Алгебра»</w:t>
            </w:r>
          </w:p>
        </w:tc>
        <w:tc>
          <w:tcPr>
            <w:tcW w:w="162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0" w:lineRule="atLeast"/>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Модуль «Геометрия»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r>
      <w:tr w:rsidR="004A0C49" w:rsidRPr="004A0C49" w:rsidTr="004A0C49">
        <w:trPr>
          <w:trHeight w:val="5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w:t>
            </w: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w:t>
            </w: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3</w:t>
            </w: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4</w:t>
            </w: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5</w:t>
            </w: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6</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7</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8</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9</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10</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11</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12</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13</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14</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15</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16</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17</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18</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19</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20</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21</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22</w:t>
            </w: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23</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24</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25</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jc w:val="center"/>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0"/>
                <w:szCs w:val="20"/>
                <w:lang w:eastAsia="ru-RU"/>
              </w:rPr>
              <w:t>26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0C49" w:rsidRPr="004A0C49" w:rsidRDefault="004A0C49" w:rsidP="004A0C49">
            <w:pPr>
              <w:spacing w:after="0" w:line="240" w:lineRule="auto"/>
              <w:rPr>
                <w:rFonts w:ascii="Calibri" w:eastAsia="Times New Roman" w:hAnsi="Calibri" w:cs="Calibri"/>
                <w:color w:val="000000"/>
                <w:lang w:eastAsia="ru-RU"/>
              </w:rPr>
            </w:pPr>
          </w:p>
        </w:tc>
      </w:tr>
      <w:tr w:rsidR="004A0C49" w:rsidRPr="004A0C49" w:rsidTr="004A0C49">
        <w:tc>
          <w:tcPr>
            <w:tcW w:w="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0C49" w:rsidRPr="004A0C49" w:rsidRDefault="004A0C49" w:rsidP="004A0C49">
            <w:pPr>
              <w:spacing w:after="0" w:line="240" w:lineRule="auto"/>
              <w:rPr>
                <w:rFonts w:ascii="Times New Roman" w:eastAsia="Times New Roman" w:hAnsi="Times New Roman" w:cs="Times New Roman"/>
                <w:sz w:val="1"/>
                <w:szCs w:val="24"/>
                <w:lang w:eastAsia="ru-RU"/>
              </w:rPr>
            </w:pPr>
          </w:p>
        </w:tc>
      </w:tr>
    </w:tbl>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Анализ проведенных работ в сравнении с результатами других диагностических работ.</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Своевременно знакомить под роспись с результатами учащихся и их родителей.</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Анализ типичных ошибок.</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Использование ИКТ при подготовке к ОГЭ</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Психологическая подготовка</w:t>
      </w:r>
    </w:p>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Обучение приему «Движение вверх-вниз»</w:t>
      </w:r>
    </w:p>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Обучение жесткому самоконтролю времени</w:t>
      </w:r>
    </w:p>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lastRenderedPageBreak/>
        <w:t>Обучение оценке трудности заданий и разумному выбору этих заданий</w:t>
      </w:r>
    </w:p>
    <w:p w:rsidR="004A0C49" w:rsidRPr="004A0C49" w:rsidRDefault="004A0C49" w:rsidP="004A0C49">
      <w:pPr>
        <w:shd w:val="clear" w:color="auto" w:fill="FFFFFF"/>
        <w:spacing w:after="0" w:line="240" w:lineRule="auto"/>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Обучение прикидке границ результатов и минимальной подстановке как способам проверки результатов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Создание банка тестовых заданий</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Создание тестов по основным темам курса</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Тренировочные тесты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Итоговые тесты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Тесты прошлых лет</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Тесты пробных экзаменов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Устный счет. Устные упражнения.</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Устный счет на каждом уроке строить только на основе упражнений ОГЭ.</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Обучать «технике сдачи теста»</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Обучать строгому самоконтролю времени;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Учим определять трудность заданий;</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Знакомим с приемом «прикидки» результата подстановкой;</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Знакомим с приемом «спирального движения по тесту».</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Приучаем ребят к методу «пристального взгляда» - внимательно посмотри: «Нет ли короткого пути решения? Так как ты ограничен во времени»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Работа с бланками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Приучать выпускников к внимательному чтению и неукоснительному выполнению инструкций, использующихся в материалах ОГЭ, к четкому, разборчивому письму. Заполнению бланка регистрации и бланка №2, дополнительного бланка.</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Папка учащегося по подготовке к ОГЭ</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Теоретический справочник</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Индивидуальная диагностическая карта.</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Разбор заданий с типичными ошибками.</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Мониторинг сдачи теоретического материала.</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Диагностические работы.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Подборка заданий части 1 и части 2.</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Инструкция по работе с бланками. Бланки №1 и №2, дополнительный бланк.</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График консультаций.</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Индивидуальные маршруты.</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color w:val="000000"/>
          <w:sz w:val="24"/>
          <w:szCs w:val="24"/>
          <w:lang w:eastAsia="ru-RU"/>
        </w:rPr>
        <w:t>•        Список пособий и интернет ресурсов.</w:t>
      </w:r>
    </w:p>
    <w:p w:rsidR="004A0C49" w:rsidRPr="004A0C49" w:rsidRDefault="004A0C49" w:rsidP="004A0C49">
      <w:pPr>
        <w:shd w:val="clear" w:color="auto" w:fill="FFFFFF"/>
        <w:spacing w:after="0"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Тетрадь учащегося по подготовке к ОГЭ.</w:t>
      </w:r>
    </w:p>
    <w:p w:rsidR="00547697" w:rsidRPr="004A0C49" w:rsidRDefault="004A0C49" w:rsidP="004A0C49">
      <w:pPr>
        <w:shd w:val="clear" w:color="auto" w:fill="FFFFFF"/>
        <w:spacing w:line="240" w:lineRule="auto"/>
        <w:jc w:val="both"/>
        <w:rPr>
          <w:rFonts w:ascii="Calibri" w:eastAsia="Times New Roman" w:hAnsi="Calibri" w:cs="Calibri"/>
          <w:color w:val="000000"/>
          <w:lang w:eastAsia="ru-RU"/>
        </w:rPr>
      </w:pPr>
      <w:r w:rsidRPr="004A0C49">
        <w:rPr>
          <w:rFonts w:ascii="Times New Roman" w:eastAsia="Times New Roman" w:hAnsi="Times New Roman" w:cs="Times New Roman"/>
          <w:b/>
          <w:bCs/>
          <w:color w:val="000000"/>
          <w:sz w:val="24"/>
          <w:szCs w:val="24"/>
          <w:u w:val="single"/>
          <w:lang w:eastAsia="ru-RU"/>
        </w:rPr>
        <w:t>Папка учителя по подготовке к ОГЭ</w:t>
      </w:r>
    </w:p>
    <w:sectPr w:rsidR="00547697" w:rsidRPr="004A0C49" w:rsidSect="004A0C4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036" w:rsidRDefault="00B37036" w:rsidP="004E1B2F">
      <w:pPr>
        <w:spacing w:after="0" w:line="240" w:lineRule="auto"/>
      </w:pPr>
      <w:r>
        <w:separator/>
      </w:r>
    </w:p>
  </w:endnote>
  <w:endnote w:type="continuationSeparator" w:id="0">
    <w:p w:rsidR="00B37036" w:rsidRDefault="00B37036" w:rsidP="004E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036" w:rsidRDefault="00B37036" w:rsidP="004E1B2F">
      <w:pPr>
        <w:spacing w:after="0" w:line="240" w:lineRule="auto"/>
      </w:pPr>
      <w:r>
        <w:separator/>
      </w:r>
    </w:p>
  </w:footnote>
  <w:footnote w:type="continuationSeparator" w:id="0">
    <w:p w:rsidR="00B37036" w:rsidRDefault="00B37036" w:rsidP="004E1B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C5"/>
    <w:rsid w:val="0019629C"/>
    <w:rsid w:val="004A0C49"/>
    <w:rsid w:val="004E1B2F"/>
    <w:rsid w:val="00547697"/>
    <w:rsid w:val="007264AD"/>
    <w:rsid w:val="009479B1"/>
    <w:rsid w:val="00A704FE"/>
    <w:rsid w:val="00B37036"/>
    <w:rsid w:val="00BC01C5"/>
    <w:rsid w:val="00D432F4"/>
    <w:rsid w:val="00FA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704FE"/>
  </w:style>
  <w:style w:type="paragraph" w:customStyle="1" w:styleId="c9">
    <w:name w:val="c9"/>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04FE"/>
  </w:style>
  <w:style w:type="character" w:customStyle="1" w:styleId="apple-converted-space">
    <w:name w:val="apple-converted-space"/>
    <w:basedOn w:val="a0"/>
    <w:rsid w:val="00A704FE"/>
  </w:style>
  <w:style w:type="paragraph" w:customStyle="1" w:styleId="c2">
    <w:name w:val="c2"/>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704FE"/>
  </w:style>
  <w:style w:type="character" w:customStyle="1" w:styleId="c3">
    <w:name w:val="c3"/>
    <w:basedOn w:val="a0"/>
    <w:rsid w:val="00A704FE"/>
  </w:style>
  <w:style w:type="paragraph" w:customStyle="1" w:styleId="c12">
    <w:name w:val="c12"/>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1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B2F"/>
    <w:rPr>
      <w:rFonts w:ascii="Tahoma" w:hAnsi="Tahoma" w:cs="Tahoma"/>
      <w:sz w:val="16"/>
      <w:szCs w:val="16"/>
    </w:rPr>
  </w:style>
  <w:style w:type="paragraph" w:styleId="a5">
    <w:name w:val="header"/>
    <w:basedOn w:val="a"/>
    <w:link w:val="a6"/>
    <w:uiPriority w:val="99"/>
    <w:unhideWhenUsed/>
    <w:rsid w:val="004E1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B2F"/>
  </w:style>
  <w:style w:type="paragraph" w:styleId="a7">
    <w:name w:val="footer"/>
    <w:basedOn w:val="a"/>
    <w:link w:val="a8"/>
    <w:uiPriority w:val="99"/>
    <w:unhideWhenUsed/>
    <w:rsid w:val="004E1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4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704FE"/>
  </w:style>
  <w:style w:type="paragraph" w:customStyle="1" w:styleId="c9">
    <w:name w:val="c9"/>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04FE"/>
  </w:style>
  <w:style w:type="character" w:customStyle="1" w:styleId="apple-converted-space">
    <w:name w:val="apple-converted-space"/>
    <w:basedOn w:val="a0"/>
    <w:rsid w:val="00A704FE"/>
  </w:style>
  <w:style w:type="paragraph" w:customStyle="1" w:styleId="c2">
    <w:name w:val="c2"/>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704FE"/>
  </w:style>
  <w:style w:type="character" w:customStyle="1" w:styleId="c3">
    <w:name w:val="c3"/>
    <w:basedOn w:val="a0"/>
    <w:rsid w:val="00A704FE"/>
  </w:style>
  <w:style w:type="paragraph" w:customStyle="1" w:styleId="c12">
    <w:name w:val="c12"/>
    <w:basedOn w:val="a"/>
    <w:rsid w:val="00A70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1B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B2F"/>
    <w:rPr>
      <w:rFonts w:ascii="Tahoma" w:hAnsi="Tahoma" w:cs="Tahoma"/>
      <w:sz w:val="16"/>
      <w:szCs w:val="16"/>
    </w:rPr>
  </w:style>
  <w:style w:type="paragraph" w:styleId="a5">
    <w:name w:val="header"/>
    <w:basedOn w:val="a"/>
    <w:link w:val="a6"/>
    <w:uiPriority w:val="99"/>
    <w:unhideWhenUsed/>
    <w:rsid w:val="004E1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B2F"/>
  </w:style>
  <w:style w:type="paragraph" w:styleId="a7">
    <w:name w:val="footer"/>
    <w:basedOn w:val="a"/>
    <w:link w:val="a8"/>
    <w:uiPriority w:val="99"/>
    <w:unhideWhenUsed/>
    <w:rsid w:val="004E1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4754">
      <w:bodyDiv w:val="1"/>
      <w:marLeft w:val="0"/>
      <w:marRight w:val="0"/>
      <w:marTop w:val="0"/>
      <w:marBottom w:val="0"/>
      <w:divBdr>
        <w:top w:val="none" w:sz="0" w:space="0" w:color="auto"/>
        <w:left w:val="none" w:sz="0" w:space="0" w:color="auto"/>
        <w:bottom w:val="none" w:sz="0" w:space="0" w:color="auto"/>
        <w:right w:val="none" w:sz="0" w:space="0" w:color="auto"/>
      </w:divBdr>
      <w:divsChild>
        <w:div w:id="1788549071">
          <w:marLeft w:val="0"/>
          <w:marRight w:val="0"/>
          <w:marTop w:val="0"/>
          <w:marBottom w:val="360"/>
          <w:divBdr>
            <w:top w:val="none" w:sz="0" w:space="0" w:color="auto"/>
            <w:left w:val="none" w:sz="0" w:space="0" w:color="auto"/>
            <w:bottom w:val="none" w:sz="0" w:space="0" w:color="auto"/>
            <w:right w:val="none" w:sz="0" w:space="0" w:color="auto"/>
          </w:divBdr>
          <w:divsChild>
            <w:div w:id="1866092903">
              <w:marLeft w:val="0"/>
              <w:marRight w:val="0"/>
              <w:marTop w:val="0"/>
              <w:marBottom w:val="0"/>
              <w:divBdr>
                <w:top w:val="none" w:sz="0" w:space="0" w:color="auto"/>
                <w:left w:val="none" w:sz="0" w:space="0" w:color="auto"/>
                <w:bottom w:val="none" w:sz="0" w:space="0" w:color="auto"/>
                <w:right w:val="none" w:sz="0" w:space="0" w:color="auto"/>
              </w:divBdr>
              <w:divsChild>
                <w:div w:id="1564557242">
                  <w:marLeft w:val="0"/>
                  <w:marRight w:val="0"/>
                  <w:marTop w:val="0"/>
                  <w:marBottom w:val="0"/>
                  <w:divBdr>
                    <w:top w:val="none" w:sz="0" w:space="0" w:color="auto"/>
                    <w:left w:val="none" w:sz="0" w:space="0" w:color="auto"/>
                    <w:bottom w:val="none" w:sz="0" w:space="0" w:color="auto"/>
                    <w:right w:val="none" w:sz="0" w:space="0" w:color="auto"/>
                  </w:divBdr>
                  <w:divsChild>
                    <w:div w:id="436945210">
                      <w:marLeft w:val="0"/>
                      <w:marRight w:val="0"/>
                      <w:marTop w:val="0"/>
                      <w:marBottom w:val="0"/>
                      <w:divBdr>
                        <w:top w:val="none" w:sz="0" w:space="0" w:color="auto"/>
                        <w:left w:val="none" w:sz="0" w:space="0" w:color="auto"/>
                        <w:bottom w:val="none" w:sz="0" w:space="0" w:color="auto"/>
                        <w:right w:val="none" w:sz="0" w:space="0" w:color="auto"/>
                      </w:divBdr>
                      <w:divsChild>
                        <w:div w:id="4949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74276">
          <w:marLeft w:val="0"/>
          <w:marRight w:val="0"/>
          <w:marTop w:val="0"/>
          <w:marBottom w:val="360"/>
          <w:divBdr>
            <w:top w:val="none" w:sz="0" w:space="0" w:color="auto"/>
            <w:left w:val="none" w:sz="0" w:space="0" w:color="auto"/>
            <w:bottom w:val="none" w:sz="0" w:space="0" w:color="auto"/>
            <w:right w:val="none" w:sz="0" w:space="0" w:color="auto"/>
          </w:divBdr>
          <w:divsChild>
            <w:div w:id="1088573257">
              <w:marLeft w:val="0"/>
              <w:marRight w:val="0"/>
              <w:marTop w:val="0"/>
              <w:marBottom w:val="0"/>
              <w:divBdr>
                <w:top w:val="none" w:sz="0" w:space="0" w:color="auto"/>
                <w:left w:val="none" w:sz="0" w:space="0" w:color="auto"/>
                <w:bottom w:val="none" w:sz="0" w:space="0" w:color="auto"/>
                <w:right w:val="none" w:sz="0" w:space="0" w:color="auto"/>
              </w:divBdr>
              <w:divsChild>
                <w:div w:id="2052683259">
                  <w:marLeft w:val="0"/>
                  <w:marRight w:val="0"/>
                  <w:marTop w:val="0"/>
                  <w:marBottom w:val="0"/>
                  <w:divBdr>
                    <w:top w:val="none" w:sz="0" w:space="0" w:color="auto"/>
                    <w:left w:val="none" w:sz="0" w:space="0" w:color="auto"/>
                    <w:bottom w:val="none" w:sz="0" w:space="0" w:color="auto"/>
                    <w:right w:val="none" w:sz="0" w:space="0" w:color="auto"/>
                  </w:divBdr>
                  <w:divsChild>
                    <w:div w:id="16918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X-1000</dc:creator>
  <cp:keywords/>
  <dc:description/>
  <cp:lastModifiedBy>X-1000</cp:lastModifiedBy>
  <cp:revision>7</cp:revision>
  <cp:lastPrinted>2017-09-21T04:25:00Z</cp:lastPrinted>
  <dcterms:created xsi:type="dcterms:W3CDTF">2017-07-06T20:12:00Z</dcterms:created>
  <dcterms:modified xsi:type="dcterms:W3CDTF">2017-09-21T04:30:00Z</dcterms:modified>
</cp:coreProperties>
</file>